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BD" w:rsidRPr="00753EBD" w:rsidRDefault="00753EBD" w:rsidP="00753EBD">
      <w:bookmarkStart w:id="0" w:name="_POLICY_TITLE:_PATIENT’S"/>
      <w:bookmarkStart w:id="1" w:name="_Toc462231441"/>
      <w:bookmarkStart w:id="2" w:name="_GoBack"/>
      <w:bookmarkEnd w:id="0"/>
      <w:bookmarkEnd w:id="2"/>
    </w:p>
    <w:p w:rsidR="00910A22" w:rsidRPr="004B65D5" w:rsidRDefault="00910A22" w:rsidP="00D3337C">
      <w:pPr>
        <w:pStyle w:val="Heading2"/>
      </w:pPr>
      <w:r w:rsidRPr="004B65D5">
        <w:t xml:space="preserve">POLICY TITLE: </w:t>
      </w:r>
      <w:bookmarkStart w:id="3" w:name="StaffknowledgeofPRandR"/>
      <w:r w:rsidR="00917800">
        <w:fldChar w:fldCharType="begin"/>
      </w:r>
      <w:r w:rsidR="00917800">
        <w:instrText xml:space="preserve"> HYPERLINK \l "TOC1" </w:instrText>
      </w:r>
      <w:r w:rsidR="00917800">
        <w:fldChar w:fldCharType="separate"/>
      </w:r>
      <w:r w:rsidRPr="00D3337C">
        <w:rPr>
          <w:rStyle w:val="Hyperlink"/>
        </w:rPr>
        <w:t>STAFF KNOWLEDGE OF PATIENT’S RIGHTS AND RESPONSIBILITIES</w:t>
      </w:r>
      <w:bookmarkEnd w:id="1"/>
      <w:r w:rsidR="00917800">
        <w:rPr>
          <w:rStyle w:val="Hyperlink"/>
        </w:rPr>
        <w:fldChar w:fldCharType="end"/>
      </w:r>
    </w:p>
    <w:bookmarkEnd w:id="3"/>
    <w:p w:rsidR="00910A22" w:rsidRPr="00B32DEE" w:rsidRDefault="00910A22" w:rsidP="00273651">
      <w:pPr>
        <w:spacing w:before="120" w:after="120"/>
        <w:jc w:val="both"/>
        <w:rPr>
          <w:b/>
          <w:bCs/>
          <w:iCs/>
        </w:rPr>
      </w:pPr>
      <w:r w:rsidRPr="00B32DEE">
        <w:rPr>
          <w:b/>
          <w:bCs/>
          <w:iCs/>
        </w:rPr>
        <w:t>PURPOSE:</w:t>
      </w:r>
    </w:p>
    <w:p w:rsidR="00910A22" w:rsidRPr="00B32DEE" w:rsidRDefault="00910A22" w:rsidP="00273651">
      <w:pPr>
        <w:spacing w:before="120" w:after="120"/>
        <w:jc w:val="both"/>
      </w:pPr>
      <w:r w:rsidRPr="00B32DEE">
        <w:t xml:space="preserve">The purpose of this policy is to ensure that employees of the </w:t>
      </w:r>
      <w:r>
        <w:t>facility</w:t>
      </w:r>
      <w:r w:rsidRPr="00B32DEE">
        <w:t xml:space="preserve"> are aware of the rights of the patients.</w:t>
      </w:r>
    </w:p>
    <w:p w:rsidR="00910A22" w:rsidRPr="00B32DEE" w:rsidRDefault="00910A22" w:rsidP="00273651">
      <w:pPr>
        <w:spacing w:before="120" w:after="120"/>
        <w:jc w:val="both"/>
        <w:rPr>
          <w:b/>
          <w:bCs/>
          <w:iCs/>
        </w:rPr>
      </w:pPr>
      <w:r w:rsidRPr="00B32DEE">
        <w:rPr>
          <w:b/>
          <w:bCs/>
          <w:iCs/>
        </w:rPr>
        <w:t xml:space="preserve">POLICY:  </w:t>
      </w:r>
    </w:p>
    <w:p w:rsidR="00910A22" w:rsidRDefault="00910A22" w:rsidP="009B79F9">
      <w:pPr>
        <w:numPr>
          <w:ilvl w:val="0"/>
          <w:numId w:val="4"/>
        </w:numPr>
        <w:spacing w:before="120" w:after="120"/>
        <w:jc w:val="both"/>
      </w:pPr>
      <w:r w:rsidRPr="00B32DEE">
        <w:t>All staff is</w:t>
      </w:r>
      <w:r>
        <w:t xml:space="preserve"> familiar with the following information: The Patient’s Bill of Rights, The Patient’s Responsibilities, the Services Available at the Organization, and the Patient’s Right to Express Grievances.</w:t>
      </w:r>
      <w:r w:rsidR="00520CD8">
        <w:t xml:space="preserve"> Knowledge and compliance with following these rights for patients is a requirement for continued employment. </w:t>
      </w:r>
    </w:p>
    <w:p w:rsidR="00910A22" w:rsidRDefault="00910A22" w:rsidP="009B79F9">
      <w:pPr>
        <w:numPr>
          <w:ilvl w:val="0"/>
          <w:numId w:val="4"/>
        </w:numPr>
        <w:spacing w:before="120" w:after="120"/>
        <w:jc w:val="both"/>
      </w:pPr>
      <w:r>
        <w:t xml:space="preserve">The Patient’s Bill of Rights and Responsibilities </w:t>
      </w:r>
      <w:r w:rsidRPr="00B100D4">
        <w:rPr>
          <w:bCs/>
          <w:iCs/>
        </w:rPr>
        <w:t>are posted in the waiting room.  Copies are given to all patients.</w:t>
      </w:r>
      <w:r>
        <w:t xml:space="preserve"> The services available at the organization are listed in the Policy and Procedure Manual. The Patient Complaints and Grievances policy </w:t>
      </w:r>
      <w:r w:rsidRPr="00B100D4">
        <w:rPr>
          <w:bCs/>
          <w:iCs/>
        </w:rPr>
        <w:t>is posted in the waiting room</w:t>
      </w:r>
      <w:r w:rsidRPr="00B100D4">
        <w:t>.</w:t>
      </w:r>
    </w:p>
    <w:p w:rsidR="00910A22" w:rsidRDefault="00910A22" w:rsidP="0055708E">
      <w:pPr>
        <w:numPr>
          <w:ilvl w:val="0"/>
          <w:numId w:val="4"/>
        </w:numPr>
        <w:spacing w:before="120" w:after="120"/>
      </w:pPr>
      <w:r>
        <w:t>The procedure to be followed by the staff for administering grievances and making suggestions is outlined in the Policy and Procedure Manual under the policy entitled Staff Grieva</w:t>
      </w:r>
      <w:r w:rsidR="00E3651A">
        <w:t>nces and Suggestions for Chang</w:t>
      </w:r>
      <w:r w:rsidR="00C82DF8">
        <w:t>e.</w:t>
      </w:r>
      <w:bookmarkStart w:id="4" w:name="_POLICY_TITLE:_ABUSEAND/OR"/>
      <w:bookmarkStart w:id="5" w:name="_POLICY_TITLE:_CONFIDENTIALITY"/>
      <w:bookmarkStart w:id="6" w:name="_POLICY_TITLE:_PRIVACY"/>
      <w:bookmarkStart w:id="7" w:name="_POLICY_TITLE:_PRIVACY_1"/>
      <w:bookmarkStart w:id="8" w:name="_POLICY_TITLE:_BUSINESS"/>
      <w:bookmarkStart w:id="9" w:name="_POLICY_TITLE:_NOTICE"/>
      <w:bookmarkStart w:id="10" w:name="NOTICEOFPRIVACEPOLICY"/>
      <w:bookmarkStart w:id="11" w:name="_POLICY_TITLE:_ADVANCE"/>
      <w:bookmarkStart w:id="12" w:name="_POLICY_TITLE:_FINANCIAL"/>
      <w:bookmarkStart w:id="13" w:name="_POLICY_TITLE:_OUTSIDE"/>
      <w:bookmarkStart w:id="14" w:name="_POLICY_TITLE:_NON-DISCRIMINATION"/>
      <w:bookmarkStart w:id="15" w:name="_POLICY_TITLE:_AMERICANS"/>
      <w:bookmarkStart w:id="16" w:name="_POLICY_TITLE:_PATIENT"/>
      <w:bookmarkStart w:id="17" w:name="_POLICY_TITLE:_PATIENT_1"/>
      <w:bookmarkStart w:id="18" w:name="_POLICY_TITLE:_PROVISION"/>
      <w:bookmarkStart w:id="19" w:name="_POLICY_TITLE:_PATIENT_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910A22" w:rsidSect="0025790C">
      <w:headerReference w:type="default" r:id="rId9"/>
      <w:headerReference w:type="first" r:id="rId10"/>
      <w:pgSz w:w="12240" w:h="15840"/>
      <w:pgMar w:top="720" w:right="1080" w:bottom="1440" w:left="108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0C" w:rsidRDefault="0025790C">
      <w:r>
        <w:separator/>
      </w:r>
    </w:p>
  </w:endnote>
  <w:endnote w:type="continuationSeparator" w:id="0">
    <w:p w:rsidR="0025790C" w:rsidRDefault="002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0C" w:rsidRDefault="0025790C">
      <w:r>
        <w:separator/>
      </w:r>
    </w:p>
  </w:footnote>
  <w:footnote w:type="continuationSeparator" w:id="0">
    <w:p w:rsidR="0025790C" w:rsidRDefault="0025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5790C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5790C" w:rsidRPr="00BB733A" w:rsidRDefault="0025790C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 of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25790C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5790C" w:rsidRPr="00455531" w:rsidRDefault="0025790C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5790C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25790C" w:rsidRPr="00455531" w:rsidRDefault="0025790C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5790C" w:rsidRPr="00455531" w:rsidRDefault="0025790C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25790C" w:rsidRPr="00455531" w:rsidRDefault="0025790C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765F0" w:rsidTr="00F765F0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65F0" w:rsidRDefault="00F765F0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357B3C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765F0" w:rsidRDefault="00F765F0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765F0" w:rsidTr="00F765F0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65F0" w:rsidRDefault="00F765F0">
          <w:pPr>
            <w:rPr>
              <w:b/>
              <w:bCs/>
            </w:rPr>
          </w:pPr>
        </w:p>
      </w:tc>
      <w:tc>
        <w:tcPr>
          <w:tcW w:w="18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Approved By: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765F0" w:rsidRDefault="00F765F0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765F0" w:rsidTr="00F765F0">
      <w:trPr>
        <w:cantSplit/>
        <w:trHeight w:val="274"/>
      </w:trPr>
      <w:tc>
        <w:tcPr>
          <w:tcW w:w="70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65F0" w:rsidRDefault="00F765F0">
          <w:pPr>
            <w:pStyle w:val="Header"/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765F0" w:rsidRDefault="00F765F0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765F0" w:rsidTr="00F765F0">
      <w:trPr>
        <w:cantSplit/>
        <w:trHeight w:val="220"/>
      </w:trPr>
      <w:tc>
        <w:tcPr>
          <w:tcW w:w="70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65F0" w:rsidRDefault="00F765F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765F0" w:rsidTr="00F765F0">
      <w:trPr>
        <w:trHeight w:val="226"/>
      </w:trPr>
      <w:tc>
        <w:tcPr>
          <w:tcW w:w="705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bottom"/>
          <w:hideMark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bottom"/>
        </w:tcPr>
        <w:p w:rsidR="00F765F0" w:rsidRDefault="00F765F0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505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5790C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00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57B3C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76B15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A4B0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142E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2DF8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29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3651A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5F0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B0D5-8589-49EA-A3B1-B8BD471D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2017-07-24T18:19:00Z</dcterms:modified>
</cp:coreProperties>
</file>