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7E" w:rsidRDefault="009E257E" w:rsidP="000565D0">
      <w:pPr>
        <w:rPr>
          <w:b/>
          <w:bCs/>
        </w:rPr>
      </w:pPr>
    </w:p>
    <w:p w:rsidR="000565D0" w:rsidRPr="006C47DF" w:rsidRDefault="000565D0" w:rsidP="000565D0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r w:rsidRPr="00961222">
        <w:rPr>
          <w:rFonts w:ascii="Times New Roman" w:hAnsi="Times New Roman"/>
          <w:b/>
          <w:bCs/>
          <w:sz w:val="24"/>
          <w:szCs w:val="24"/>
        </w:rPr>
        <w:t xml:space="preserve">POLICY: </w:t>
      </w:r>
      <w:bookmarkStart w:id="0" w:name="Bioharzardous"/>
      <w:r w:rsidRPr="006C47DF">
        <w:rPr>
          <w:rFonts w:ascii="Times New Roman" w:hAnsi="Times New Roman"/>
          <w:b/>
          <w:bCs/>
          <w:sz w:val="24"/>
          <w:szCs w:val="24"/>
          <w:u w:val="single"/>
        </w:rPr>
        <w:fldChar w:fldCharType="begin"/>
      </w:r>
      <w:r w:rsidRPr="006C47DF">
        <w:rPr>
          <w:rFonts w:ascii="Times New Roman" w:hAnsi="Times New Roman"/>
          <w:b/>
          <w:bCs/>
          <w:sz w:val="24"/>
          <w:szCs w:val="24"/>
          <w:u w:val="single"/>
        </w:rPr>
        <w:instrText xml:space="preserve"> HYPERLINK  \l "TableofContents1A" </w:instrText>
      </w:r>
      <w:r w:rsidRPr="006C47DF">
        <w:rPr>
          <w:rFonts w:ascii="Times New Roman" w:hAnsi="Times New Roman"/>
          <w:b/>
          <w:bCs/>
          <w:sz w:val="24"/>
          <w:szCs w:val="24"/>
          <w:u w:val="single"/>
        </w:rPr>
        <w:fldChar w:fldCharType="separate"/>
      </w:r>
      <w:r w:rsidRPr="006C47DF">
        <w:rPr>
          <w:rStyle w:val="Hyperlink"/>
          <w:rFonts w:ascii="Times New Roman" w:hAnsi="Times New Roman"/>
          <w:b/>
          <w:bCs/>
          <w:sz w:val="24"/>
          <w:szCs w:val="24"/>
        </w:rPr>
        <w:t>MANAGEMENT OF BIOHAZARDOUS WASTES</w:t>
      </w:r>
      <w:r w:rsidRPr="006C47DF">
        <w:rPr>
          <w:rFonts w:ascii="Times New Roman" w:hAnsi="Times New Roman"/>
          <w:b/>
          <w:bCs/>
          <w:sz w:val="24"/>
          <w:szCs w:val="24"/>
          <w:u w:val="single"/>
        </w:rPr>
        <w:fldChar w:fldCharType="end"/>
      </w:r>
      <w:bookmarkEnd w:id="0"/>
    </w:p>
    <w:p w:rsidR="000565D0" w:rsidRPr="00212B1A" w:rsidRDefault="000565D0" w:rsidP="000565D0">
      <w:r w:rsidRPr="00212B1A">
        <w:rPr>
          <w:b/>
          <w:bCs/>
        </w:rPr>
        <w:t>PURPOSE:</w:t>
      </w:r>
      <w:r>
        <w:t xml:space="preserve"> To establish</w:t>
      </w:r>
      <w:r w:rsidRPr="00212B1A">
        <w:t xml:space="preserve"> a standardized, safe</w:t>
      </w:r>
      <w:r>
        <w:t>,</w:t>
      </w:r>
      <w:r w:rsidRPr="00212B1A">
        <w:t xml:space="preserve"> and effective method for disposing of bio-hazardous waste.</w:t>
      </w:r>
    </w:p>
    <w:p w:rsidR="000565D0" w:rsidRPr="00212B1A" w:rsidRDefault="000565D0" w:rsidP="000565D0">
      <w:r>
        <w:t>Standard</w:t>
      </w:r>
      <w:r w:rsidRPr="00212B1A">
        <w:t xml:space="preserve"> precautio</w:t>
      </w:r>
      <w:r>
        <w:t>ns will</w:t>
      </w:r>
      <w:r w:rsidRPr="00212B1A">
        <w:t xml:space="preserve"> be adhered to at all </w:t>
      </w:r>
      <w:r w:rsidRPr="00913105">
        <w:t xml:space="preserve">times during the </w:t>
      </w:r>
      <w:r>
        <w:t>process of waste</w:t>
      </w:r>
      <w:r w:rsidRPr="00913105">
        <w:t xml:space="preserve"> disposal and transport within the facility.  This includes the required use of eye protection, barrier materials</w:t>
      </w:r>
      <w:r>
        <w:t>,</w:t>
      </w:r>
      <w:r w:rsidRPr="00913105">
        <w:t xml:space="preserve"> and gloves when handling bio-hazardous materials, including IV bags and tubes</w:t>
      </w:r>
      <w:r>
        <w:t>.</w:t>
      </w:r>
    </w:p>
    <w:p w:rsidR="000565D0" w:rsidRDefault="000565D0" w:rsidP="000565D0">
      <w:pPr>
        <w:rPr>
          <w:b/>
          <w:bCs/>
        </w:rPr>
      </w:pPr>
      <w:r w:rsidRPr="00212B1A">
        <w:rPr>
          <w:b/>
          <w:bCs/>
        </w:rPr>
        <w:t>PROCEDURE:</w:t>
      </w:r>
    </w:p>
    <w:p w:rsidR="000565D0" w:rsidRDefault="000565D0" w:rsidP="000565D0">
      <w:pPr>
        <w:rPr>
          <w:b/>
          <w:bCs/>
        </w:rPr>
      </w:pPr>
    </w:p>
    <w:p w:rsidR="000565D0" w:rsidRDefault="000565D0" w:rsidP="00F57256">
      <w:pPr>
        <w:pStyle w:val="ListParagraph"/>
        <w:numPr>
          <w:ilvl w:val="0"/>
          <w:numId w:val="429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Wastes are accumulated in closed</w:t>
      </w:r>
      <w:r w:rsidRPr="000C55DC">
        <w:rPr>
          <w:rFonts w:ascii="Times New Roman" w:hAnsi="Times New Roman"/>
          <w:sz w:val="24"/>
          <w:szCs w:val="24"/>
        </w:rPr>
        <w:t xml:space="preserve"> containers wit</w:t>
      </w:r>
      <w:r>
        <w:rPr>
          <w:rFonts w:ascii="Times New Roman" w:hAnsi="Times New Roman"/>
          <w:sz w:val="24"/>
          <w:szCs w:val="24"/>
        </w:rPr>
        <w:t>h a red bag insert.  Biohazard w</w:t>
      </w:r>
      <w:r w:rsidRPr="000C55DC">
        <w:rPr>
          <w:rFonts w:ascii="Times New Roman" w:hAnsi="Times New Roman"/>
          <w:sz w:val="24"/>
          <w:szCs w:val="24"/>
        </w:rPr>
        <w:t>aste is defined according to local, state</w:t>
      </w:r>
      <w:r>
        <w:rPr>
          <w:rFonts w:ascii="Times New Roman" w:hAnsi="Times New Roman"/>
          <w:sz w:val="24"/>
          <w:szCs w:val="24"/>
        </w:rPr>
        <w:t>,</w:t>
      </w:r>
      <w:r w:rsidRPr="000C55DC">
        <w:rPr>
          <w:rFonts w:ascii="Times New Roman" w:hAnsi="Times New Roman"/>
          <w:sz w:val="24"/>
          <w:szCs w:val="24"/>
        </w:rPr>
        <w:t xml:space="preserve"> and federal authorities.  It is comprised of waste capable of producing an infection because it contains pathogens of sufficient virulence and quality.</w:t>
      </w:r>
      <w:r>
        <w:rPr>
          <w:rFonts w:ascii="Times New Roman" w:hAnsi="Times New Roman"/>
          <w:sz w:val="24"/>
          <w:szCs w:val="24"/>
        </w:rPr>
        <w:t xml:space="preserve"> Bags will be gooseneck tied, no rabbit ear or bunny ear ties are allowed. Nor is tape or rubber bands allowed to close a red bag.  </w:t>
      </w:r>
    </w:p>
    <w:p w:rsidR="000565D0" w:rsidRDefault="000565D0" w:rsidP="000565D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565D0" w:rsidRPr="00DF0AAB" w:rsidRDefault="000565D0" w:rsidP="00F57256">
      <w:pPr>
        <w:pStyle w:val="ListParagraph"/>
        <w:numPr>
          <w:ilvl w:val="0"/>
          <w:numId w:val="429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Biohazard trash is contained at the point where it is generated.</w:t>
      </w:r>
    </w:p>
    <w:p w:rsidR="000565D0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29"/>
        </w:num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Red bags and their contents are then transferred to the bio-hazard waste storage area in the designated containers (that are labeled).</w:t>
      </w:r>
    </w:p>
    <w:p w:rsidR="000565D0" w:rsidRPr="000C55DC" w:rsidRDefault="000565D0" w:rsidP="000565D0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29"/>
        </w:numPr>
        <w:spacing w:after="16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Biohazard contractor </w:t>
      </w:r>
      <w:r w:rsidRPr="000C55DC">
        <w:rPr>
          <w:rFonts w:ascii="Times New Roman" w:hAnsi="Times New Roman"/>
          <w:sz w:val="24"/>
          <w:szCs w:val="24"/>
        </w:rPr>
        <w:t>will pick up these wastes regularly</w:t>
      </w:r>
      <w:r>
        <w:rPr>
          <w:rFonts w:ascii="Times New Roman" w:hAnsi="Times New Roman"/>
          <w:sz w:val="24"/>
          <w:szCs w:val="24"/>
        </w:rPr>
        <w:t xml:space="preserve"> and leave a signed manifest behind for later reconciliation.</w:t>
      </w:r>
    </w:p>
    <w:p w:rsidR="000565D0" w:rsidRDefault="000565D0" w:rsidP="000565D0">
      <w:pPr>
        <w:pStyle w:val="ListParagraph"/>
        <w:rPr>
          <w:rFonts w:ascii="Times New Roman" w:hAnsi="Times New Roman"/>
          <w:sz w:val="24"/>
          <w:szCs w:val="24"/>
        </w:rPr>
      </w:pPr>
    </w:p>
    <w:p w:rsidR="000565D0" w:rsidRDefault="000565D0" w:rsidP="00F57256">
      <w:pPr>
        <w:pStyle w:val="ListParagraph"/>
        <w:numPr>
          <w:ilvl w:val="0"/>
          <w:numId w:val="429"/>
        </w:numPr>
        <w:spacing w:after="16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Manifests will be retained by the facility for 3 years. </w:t>
      </w:r>
    </w:p>
    <w:p w:rsidR="000565D0" w:rsidRDefault="000565D0" w:rsidP="000565D0">
      <w:pPr>
        <w:pStyle w:val="ListParagraph"/>
        <w:rPr>
          <w:rFonts w:ascii="Times New Roman" w:hAnsi="Times New Roman"/>
          <w:sz w:val="24"/>
          <w:szCs w:val="24"/>
        </w:rPr>
      </w:pPr>
    </w:p>
    <w:p w:rsidR="000565D0" w:rsidRPr="000C55DC" w:rsidRDefault="000565D0" w:rsidP="00F57256">
      <w:pPr>
        <w:pStyle w:val="ListParagraph"/>
        <w:numPr>
          <w:ilvl w:val="0"/>
          <w:numId w:val="429"/>
        </w:numPr>
        <w:spacing w:after="16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Staff will be trained on the DOT requirements within 90 days of employment and retrained every 3 years. </w:t>
      </w:r>
    </w:p>
    <w:p w:rsidR="000565D0" w:rsidRPr="006917F6" w:rsidRDefault="000565D0" w:rsidP="000565D0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pPr>
        <w:rPr>
          <w:b/>
          <w:bCs/>
        </w:rPr>
      </w:pPr>
    </w:p>
    <w:p w:rsidR="00661DE3" w:rsidRPr="00212B1A" w:rsidRDefault="00661DE3" w:rsidP="000565D0">
      <w:pPr>
        <w:rPr>
          <w:b/>
          <w:bCs/>
        </w:rPr>
      </w:pPr>
      <w:bookmarkStart w:id="1" w:name="_GoBack"/>
      <w:bookmarkEnd w:id="1"/>
    </w:p>
    <w:p w:rsidR="000565D0" w:rsidRPr="00212B1A" w:rsidRDefault="000565D0" w:rsidP="000565D0">
      <w:pPr>
        <w:rPr>
          <w:b/>
          <w:bCs/>
        </w:rPr>
      </w:pPr>
    </w:p>
    <w:p w:rsidR="000565D0" w:rsidRPr="00212B1A" w:rsidRDefault="000565D0" w:rsidP="000565D0">
      <w:pPr>
        <w:rPr>
          <w:b/>
          <w:bCs/>
        </w:rPr>
      </w:pPr>
    </w:p>
    <w:p w:rsidR="000565D0" w:rsidRPr="00212B1A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  <w:r>
        <w:rPr>
          <w:b/>
          <w:bCs/>
        </w:rPr>
        <w:t>References:</w:t>
      </w:r>
    </w:p>
    <w:p w:rsidR="000565D0" w:rsidRDefault="000565D0" w:rsidP="00F57256">
      <w:pPr>
        <w:numPr>
          <w:ilvl w:val="1"/>
          <w:numId w:val="478"/>
        </w:numPr>
        <w:rPr>
          <w:bCs/>
        </w:rPr>
      </w:pPr>
      <w:r w:rsidRPr="00911868">
        <w:rPr>
          <w:bCs/>
        </w:rPr>
        <w:t>Occupational Safety and Health Standards, Toxic and Hazardous Substances, Standard Number 1910.1030 Bloodborne Pathogens</w:t>
      </w:r>
    </w:p>
    <w:p w:rsidR="000565D0" w:rsidRPr="00911868" w:rsidRDefault="000565D0" w:rsidP="00F57256">
      <w:pPr>
        <w:numPr>
          <w:ilvl w:val="1"/>
          <w:numId w:val="478"/>
        </w:numPr>
        <w:rPr>
          <w:bCs/>
        </w:rPr>
      </w:pPr>
      <w:r>
        <w:rPr>
          <w:bCs/>
        </w:rPr>
        <w:t>Department of Transportation requirements</w:t>
      </w:r>
    </w:p>
    <w:p w:rsidR="00910A22" w:rsidRDefault="00910A22" w:rsidP="006E2B8B"/>
    <w:sectPr w:rsidR="00910A22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8806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1DE3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432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2E50-85A4-41A2-AA8D-FE039060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2017-04-21T20:52:00Z</dcterms:created>
  <dcterms:modified xsi:type="dcterms:W3CDTF">2017-07-26T17:59:00Z</dcterms:modified>
</cp:coreProperties>
</file>